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4397D" w14:textId="5259414F" w:rsidR="0009365B" w:rsidRPr="00A42757" w:rsidRDefault="007260F9" w:rsidP="00CC3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bookmarkStart w:id="0" w:name="_GoBack"/>
      <w:bookmarkEnd w:id="0"/>
      <w:r>
        <w:rPr>
          <w:b/>
        </w:rPr>
        <w:t>DEAMBULATION ET NECESSITE DE CONFINEMENT</w:t>
      </w:r>
      <w:r w:rsidR="00677565">
        <w:rPr>
          <w:b/>
        </w:rPr>
        <w:t> : PROPOSITIONS DE REFLEXE</w:t>
      </w:r>
    </w:p>
    <w:p w14:paraId="34E1B62A" w14:textId="416D8432" w:rsidR="002B2BA5" w:rsidRDefault="007260F9" w:rsidP="00981645">
      <w:r>
        <w:t xml:space="preserve">M. Soto, T. Voisin, P. </w:t>
      </w:r>
      <w:proofErr w:type="spellStart"/>
      <w:r>
        <w:t>Saidlitz</w:t>
      </w:r>
      <w:proofErr w:type="spellEnd"/>
      <w:r>
        <w:t xml:space="preserve">, S. </w:t>
      </w:r>
      <w:proofErr w:type="spellStart"/>
      <w:r>
        <w:t>Hermabessière</w:t>
      </w:r>
      <w:proofErr w:type="spellEnd"/>
      <w:r>
        <w:t>,</w:t>
      </w:r>
      <w:r w:rsidR="00C07B78">
        <w:t xml:space="preserve"> </w:t>
      </w:r>
      <w:r w:rsidR="00177393">
        <w:t>A</w:t>
      </w:r>
      <w:r w:rsidR="00C07B78">
        <w:t>B. Abdeljalil,</w:t>
      </w:r>
      <w:r w:rsidR="00E44510">
        <w:t xml:space="preserve"> C. Cransac,</w:t>
      </w:r>
      <w:r>
        <w:t xml:space="preserve"> </w:t>
      </w:r>
      <w:r w:rsidR="00400C8C">
        <w:t xml:space="preserve">M. </w:t>
      </w:r>
      <w:proofErr w:type="spellStart"/>
      <w:r w:rsidR="00400C8C">
        <w:t>Baziard</w:t>
      </w:r>
      <w:proofErr w:type="spellEnd"/>
      <w:r w:rsidR="00400C8C">
        <w:t xml:space="preserve">, </w:t>
      </w:r>
      <w:r>
        <w:t>A. de Mauléon</w:t>
      </w:r>
      <w:r w:rsidR="002B2BA5">
        <w:t>.</w:t>
      </w:r>
    </w:p>
    <w:p w14:paraId="7D071FBB" w14:textId="35C3F31F" w:rsidR="00120AB2" w:rsidRDefault="00120AB2" w:rsidP="00981645"/>
    <w:p w14:paraId="3952CF18" w14:textId="77777777" w:rsidR="00C026DA" w:rsidRPr="00716998" w:rsidRDefault="00C026DA" w:rsidP="00981645"/>
    <w:p w14:paraId="0F9BF6D7" w14:textId="5C9C0488" w:rsidR="00981645" w:rsidRDefault="007260F9" w:rsidP="00981645">
      <w:pPr>
        <w:rPr>
          <w:b/>
        </w:rPr>
      </w:pPr>
      <w:r>
        <w:rPr>
          <w:b/>
        </w:rPr>
        <w:t>POURQUOI ?</w:t>
      </w:r>
    </w:p>
    <w:p w14:paraId="02921733" w14:textId="638734C0" w:rsidR="001E4A17" w:rsidRDefault="001E4A17" w:rsidP="001E4A17">
      <w:pPr>
        <w:spacing w:after="0"/>
      </w:pPr>
      <w:r>
        <w:t xml:space="preserve">Dans le contexte COVID-19 où l’intérêt collectif prime sur l’intérêt individuel, il peut être </w:t>
      </w:r>
      <w:r w:rsidR="0087705C">
        <w:t xml:space="preserve">nécessaire </w:t>
      </w:r>
      <w:r>
        <w:t>de limiter la déambulation d’un patient ayant un trouble neurocognitif m</w:t>
      </w:r>
      <w:r w:rsidR="0087705C">
        <w:t xml:space="preserve">ajeur </w:t>
      </w:r>
      <w:r w:rsidR="0097408F">
        <w:t>en EHPAD, USLD ou secteur de soins</w:t>
      </w:r>
      <w:r w:rsidR="0087705C">
        <w:t xml:space="preserve"> devant les risques pour l’environnement</w:t>
      </w:r>
      <w:r w:rsidR="0097408F">
        <w:t xml:space="preserve"> (résident/patient, soignant)</w:t>
      </w:r>
      <w:r>
        <w:t>.</w:t>
      </w:r>
    </w:p>
    <w:p w14:paraId="4F57162C" w14:textId="07FC0586" w:rsidR="0097408F" w:rsidRPr="0097408F" w:rsidRDefault="0087705C" w:rsidP="001E4A17">
      <w:pPr>
        <w:spacing w:before="240" w:after="0"/>
      </w:pPr>
      <w:r>
        <w:t>Dans ce cadre-là, il pourra m</w:t>
      </w:r>
      <w:r w:rsidR="0097408F" w:rsidRPr="0097408F">
        <w:t>alheureusement</w:t>
      </w:r>
      <w:r>
        <w:t xml:space="preserve"> être nécessaire de confiner le résident/patient dans sa chambre</w:t>
      </w:r>
      <w:r w:rsidR="0097408F">
        <w:t xml:space="preserve">. En fonction de la tolérance </w:t>
      </w:r>
      <w:r>
        <w:t>de ce confinement</w:t>
      </w:r>
      <w:r w:rsidR="00132BFF">
        <w:t xml:space="preserve">, </w:t>
      </w:r>
      <w:r w:rsidR="0097408F">
        <w:t>des moyens</w:t>
      </w:r>
      <w:r w:rsidR="0097408F" w:rsidRPr="0097408F">
        <w:t xml:space="preserve"> de contention </w:t>
      </w:r>
      <w:r w:rsidR="0097408F">
        <w:t>chimique</w:t>
      </w:r>
      <w:r w:rsidR="0097408F" w:rsidRPr="0097408F">
        <w:t xml:space="preserve"> et/ou </w:t>
      </w:r>
      <w:r>
        <w:t>physique supplémentaires pourro</w:t>
      </w:r>
      <w:r w:rsidR="0097408F">
        <w:t>nt être envisagés</w:t>
      </w:r>
      <w:r w:rsidR="0097408F" w:rsidRPr="0097408F">
        <w:t>.</w:t>
      </w:r>
    </w:p>
    <w:p w14:paraId="5AFA640F" w14:textId="5934AE3D" w:rsidR="0097408F" w:rsidRPr="0097408F" w:rsidRDefault="0097408F" w:rsidP="0087705C">
      <w:pPr>
        <w:spacing w:before="240"/>
      </w:pPr>
      <w:r w:rsidRPr="0087705C">
        <w:rPr>
          <w:b/>
        </w:rPr>
        <w:t>L’éva</w:t>
      </w:r>
      <w:r w:rsidR="0087705C" w:rsidRPr="0087705C">
        <w:rPr>
          <w:b/>
        </w:rPr>
        <w:t>luation de la balance bénéfices-</w:t>
      </w:r>
      <w:r w:rsidRPr="0087705C">
        <w:rPr>
          <w:b/>
        </w:rPr>
        <w:t>risque</w:t>
      </w:r>
      <w:r w:rsidR="0087705C" w:rsidRPr="0087705C">
        <w:rPr>
          <w:b/>
        </w:rPr>
        <w:t>s</w:t>
      </w:r>
      <w:r w:rsidRPr="0087705C">
        <w:rPr>
          <w:b/>
        </w:rPr>
        <w:t xml:space="preserve"> de nos actions</w:t>
      </w:r>
      <w:r>
        <w:t> :</w:t>
      </w:r>
      <w:r w:rsidRPr="0097408F">
        <w:t xml:space="preserve"> confinement dans la chambre</w:t>
      </w:r>
      <w:r>
        <w:t>,</w:t>
      </w:r>
      <w:r w:rsidRPr="0097408F">
        <w:t xml:space="preserve"> contention chimique</w:t>
      </w:r>
      <w:r>
        <w:t>,</w:t>
      </w:r>
      <w:r w:rsidRPr="0097408F">
        <w:t xml:space="preserve"> contention physique</w:t>
      </w:r>
      <w:r>
        <w:t xml:space="preserve"> ou leur association</w:t>
      </w:r>
      <w:r w:rsidR="0087705C">
        <w:t>,</w:t>
      </w:r>
      <w:r w:rsidRPr="0097408F">
        <w:t xml:space="preserve"> </w:t>
      </w:r>
      <w:r w:rsidR="0087705C">
        <w:t>doi</w:t>
      </w:r>
      <w:r>
        <w:t>t</w:t>
      </w:r>
      <w:r w:rsidRPr="0097408F">
        <w:t xml:space="preserve"> bien sûr être conduit</w:t>
      </w:r>
      <w:r w:rsidR="0087705C">
        <w:t>e</w:t>
      </w:r>
      <w:r w:rsidRPr="0097408F">
        <w:t xml:space="preserve"> au cas par cas en fonction de l’évaluation des risque</w:t>
      </w:r>
      <w:r>
        <w:t>s</w:t>
      </w:r>
      <w:r w:rsidR="0087705C">
        <w:t xml:space="preserve"> après discussion collégiale. </w:t>
      </w:r>
      <w:r w:rsidRPr="0097408F">
        <w:t xml:space="preserve">L’objectif étant bien </w:t>
      </w:r>
      <w:r w:rsidR="004844D5" w:rsidRPr="0097408F">
        <w:t>sûr</w:t>
      </w:r>
      <w:r w:rsidRPr="0097408F">
        <w:t xml:space="preserve"> de choisir la moins mauvaise solution pour le patient et son environnement dans cette situation de crise </w:t>
      </w:r>
      <w:r>
        <w:t>non</w:t>
      </w:r>
      <w:r w:rsidRPr="0097408F">
        <w:t xml:space="preserve"> adapté</w:t>
      </w:r>
      <w:r>
        <w:t>e</w:t>
      </w:r>
      <w:r w:rsidRPr="0097408F">
        <w:t xml:space="preserve"> à </w:t>
      </w:r>
      <w:r>
        <w:t>une</w:t>
      </w:r>
      <w:r w:rsidRPr="0097408F">
        <w:t xml:space="preserve"> prise en charge non médicamenteuse</w:t>
      </w:r>
      <w:r>
        <w:t>.</w:t>
      </w:r>
    </w:p>
    <w:p w14:paraId="1D0CD8D4" w14:textId="77777777" w:rsidR="00120AB2" w:rsidRPr="007260F9" w:rsidRDefault="00120AB2" w:rsidP="00981645"/>
    <w:p w14:paraId="2E85BCB0" w14:textId="5EBCE2E9" w:rsidR="007260F9" w:rsidRDefault="007260F9" w:rsidP="00981645">
      <w:pPr>
        <w:rPr>
          <w:b/>
        </w:rPr>
      </w:pPr>
      <w:r>
        <w:rPr>
          <w:b/>
        </w:rPr>
        <w:t>POUR QUI ?</w:t>
      </w:r>
    </w:p>
    <w:p w14:paraId="554A3756" w14:textId="7DBD978B" w:rsidR="00B16620" w:rsidRDefault="0097408F" w:rsidP="00B16620">
      <w:r>
        <w:t>Patient déambulant avec ou sans autre</w:t>
      </w:r>
      <w:r w:rsidR="00071773">
        <w:t>s</w:t>
      </w:r>
      <w:r>
        <w:t xml:space="preserve"> </w:t>
      </w:r>
      <w:r w:rsidR="00071773">
        <w:t>symptômes psycho-comportementaux</w:t>
      </w:r>
      <w:r w:rsidR="0087705C">
        <w:t xml:space="preserve"> liés à un trouble neurocognitif majeur</w:t>
      </w:r>
      <w:r w:rsidR="00E874AB">
        <w:t>,</w:t>
      </w:r>
      <w:r>
        <w:t xml:space="preserve"> C</w:t>
      </w:r>
      <w:r w:rsidR="00132BFF">
        <w:t>OVID-19</w:t>
      </w:r>
      <w:r>
        <w:t xml:space="preserve"> ou mis en « confinement » (attente résultat PCR, retour ou entrée dans la structure après une hospitalisation, …).</w:t>
      </w:r>
    </w:p>
    <w:p w14:paraId="066E45E8" w14:textId="77777777" w:rsidR="00120AB2" w:rsidRDefault="00120AB2" w:rsidP="00B16620"/>
    <w:p w14:paraId="11E319C5" w14:textId="77777777" w:rsidR="00B16620" w:rsidRDefault="00B16620" w:rsidP="00B16620">
      <w:pPr>
        <w:rPr>
          <w:b/>
        </w:rPr>
      </w:pPr>
      <w:r>
        <w:rPr>
          <w:b/>
        </w:rPr>
        <w:t>COMMENT ?</w:t>
      </w:r>
    </w:p>
    <w:p w14:paraId="5A092972" w14:textId="33AC2E0D" w:rsidR="00B16620" w:rsidRDefault="00E874AB" w:rsidP="00B16620">
      <w:r>
        <w:t>Après discussion collégiale, s</w:t>
      </w:r>
      <w:r w:rsidR="00B16620">
        <w:t>ur prescription médicale</w:t>
      </w:r>
      <w:r>
        <w:t xml:space="preserve"> tracée dans le dossier</w:t>
      </w:r>
      <w:r w:rsidR="00F01A7E">
        <w:t xml:space="preserve"> du résident/patient</w:t>
      </w:r>
      <w:r w:rsidR="00B16620">
        <w:t xml:space="preserve">, en associant une contention physique et </w:t>
      </w:r>
      <w:r w:rsidR="002B0237">
        <w:t xml:space="preserve">une contention </w:t>
      </w:r>
      <w:r w:rsidR="00B16620">
        <w:t xml:space="preserve">chimique : </w:t>
      </w:r>
    </w:p>
    <w:p w14:paraId="77C26A35" w14:textId="00D15B4D" w:rsidR="00120AB2" w:rsidRDefault="0097408F" w:rsidP="00834E85">
      <w:pPr>
        <w:pStyle w:val="Paragraphedeliste"/>
        <w:numPr>
          <w:ilvl w:val="0"/>
          <w:numId w:val="6"/>
        </w:numPr>
      </w:pPr>
      <w:r>
        <w:t>Première étape : Evaluation de la tolérance du confinement</w:t>
      </w:r>
      <w:r w:rsidR="00384E04">
        <w:t>/isolement</w:t>
      </w:r>
      <w:r>
        <w:t xml:space="preserve"> dans un lieu dédié o</w:t>
      </w:r>
      <w:r w:rsidR="00384E04">
        <w:t>ù</w:t>
      </w:r>
      <w:r>
        <w:t xml:space="preserve"> une surveillance peut être réalisé</w:t>
      </w:r>
      <w:r w:rsidR="00384E04">
        <w:t>e de façon simple</w:t>
      </w:r>
      <w:r>
        <w:t xml:space="preserve"> (chambre d’apaisement) et à défaut la chambre du résident/patient. </w:t>
      </w:r>
    </w:p>
    <w:p w14:paraId="4EA603EB" w14:textId="77777777" w:rsidR="0087705C" w:rsidRDefault="0097408F" w:rsidP="0087705C">
      <w:pPr>
        <w:pStyle w:val="Paragraphedeliste"/>
        <w:numPr>
          <w:ilvl w:val="0"/>
          <w:numId w:val="6"/>
        </w:numPr>
      </w:pPr>
      <w:r>
        <w:t>Deuxième étape : si le confinement</w:t>
      </w:r>
      <w:r w:rsidR="00384E04">
        <w:t>/isolement</w:t>
      </w:r>
      <w:r>
        <w:t xml:space="preserve"> du patient est mal toléré par le patient et génère de l’anxiété, accentue les comportements moteurs aberrants ou d’autres </w:t>
      </w:r>
      <w:r w:rsidR="00071773">
        <w:t>symptômes psycho-comportementaux</w:t>
      </w:r>
      <w:r w:rsidR="00101A27">
        <w:t>,</w:t>
      </w:r>
      <w:r w:rsidR="003069AD">
        <w:t xml:space="preserve"> mis</w:t>
      </w:r>
      <w:r w:rsidR="00384E04">
        <w:t>e</w:t>
      </w:r>
      <w:r w:rsidR="003069AD">
        <w:t xml:space="preserve"> en place d’une contention chimique (de préférence une benzodiazépine à évaluer en fonction de la situation générale)</w:t>
      </w:r>
    </w:p>
    <w:p w14:paraId="50EDDADA" w14:textId="5CF8C4E2" w:rsidR="00E874AB" w:rsidRDefault="003069AD" w:rsidP="0087705C">
      <w:pPr>
        <w:pStyle w:val="Paragraphedeliste"/>
        <w:numPr>
          <w:ilvl w:val="0"/>
          <w:numId w:val="6"/>
        </w:numPr>
      </w:pPr>
      <w:r>
        <w:t>Troisième étape : si l’étape deux n’est pas possible ou insuffisant</w:t>
      </w:r>
      <w:r w:rsidR="00384E04">
        <w:t>e</w:t>
      </w:r>
      <w:r>
        <w:t xml:space="preserve"> pour contrôler la situation y associer une contention physique adaptée</w:t>
      </w:r>
      <w:r w:rsidR="004844D5">
        <w:t>.</w:t>
      </w:r>
    </w:p>
    <w:p w14:paraId="3AE0E346" w14:textId="77777777" w:rsidR="00E874AB" w:rsidRDefault="00E874AB" w:rsidP="00E874AB">
      <w:pPr>
        <w:pStyle w:val="Paragraphedeliste"/>
      </w:pPr>
    </w:p>
    <w:p w14:paraId="12C3B094" w14:textId="0A722562" w:rsidR="00B16620" w:rsidRDefault="003069AD" w:rsidP="0087705C">
      <w:pPr>
        <w:pStyle w:val="Paragraphedeliste"/>
      </w:pPr>
      <w:r w:rsidRPr="00E874AB">
        <w:rPr>
          <w:b/>
        </w:rPr>
        <w:t>Nous vous rappelons la n</w:t>
      </w:r>
      <w:r w:rsidR="00B16620" w:rsidRPr="00E874AB">
        <w:rPr>
          <w:b/>
        </w:rPr>
        <w:t>écessité d’une surveillance et d’une réévaluation clinique</w:t>
      </w:r>
      <w:r w:rsidR="002B0237" w:rsidRPr="00E874AB">
        <w:rPr>
          <w:b/>
        </w:rPr>
        <w:t xml:space="preserve"> régulière</w:t>
      </w:r>
      <w:r w:rsidR="00B16620">
        <w:t xml:space="preserve"> toutes les 30 minutes</w:t>
      </w:r>
      <w:r w:rsidR="00400C8C">
        <w:t xml:space="preserve"> à 60 minutes</w:t>
      </w:r>
      <w:r>
        <w:t xml:space="preserve"> </w:t>
      </w:r>
      <w:r w:rsidR="00384E04">
        <w:t>de façon optimale</w:t>
      </w:r>
      <w:r w:rsidR="00400C8C">
        <w:t xml:space="preserve"> selon les possibilités de l’équipe soignante</w:t>
      </w:r>
      <w:r w:rsidR="0065652B">
        <w:t xml:space="preserve"> (procédure dégradée en fonction des ressources humaines)</w:t>
      </w:r>
      <w:r w:rsidR="00B16620">
        <w:t>.</w:t>
      </w:r>
      <w:r w:rsidR="00FC7688">
        <w:t xml:space="preserve"> </w:t>
      </w:r>
    </w:p>
    <w:p w14:paraId="2FD22A6F" w14:textId="77777777" w:rsidR="00120AB2" w:rsidRDefault="00120AB2" w:rsidP="00120AB2">
      <w:pPr>
        <w:pStyle w:val="Paragraphedeliste"/>
      </w:pPr>
    </w:p>
    <w:p w14:paraId="391856D5" w14:textId="6256A625" w:rsidR="00B16620" w:rsidRDefault="00B16620" w:rsidP="00B16620">
      <w:pPr>
        <w:pStyle w:val="Paragraphedeliste"/>
        <w:numPr>
          <w:ilvl w:val="0"/>
          <w:numId w:val="6"/>
        </w:numPr>
      </w:pPr>
      <w:r w:rsidRPr="00C026DA">
        <w:rPr>
          <w:b/>
        </w:rPr>
        <w:lastRenderedPageBreak/>
        <w:t>Réévaluation de la tolérance</w:t>
      </w:r>
      <w:r>
        <w:t xml:space="preserve"> de la prise en charge</w:t>
      </w:r>
      <w:r w:rsidR="00400C8C">
        <w:t xml:space="preserve"> de façon </w:t>
      </w:r>
      <w:r w:rsidR="00400C8C" w:rsidRPr="00C026DA">
        <w:rPr>
          <w:b/>
        </w:rPr>
        <w:t>pluriquotidienne</w:t>
      </w:r>
      <w:r w:rsidRPr="00C026DA">
        <w:rPr>
          <w:b/>
        </w:rPr>
        <w:t> </w:t>
      </w:r>
      <w:r>
        <w:t xml:space="preserve">: </w:t>
      </w:r>
    </w:p>
    <w:p w14:paraId="610F231D" w14:textId="0A05B2FF" w:rsidR="00120AB2" w:rsidRDefault="00120AB2" w:rsidP="00120AB2">
      <w:pPr>
        <w:pStyle w:val="Paragraphedeliste"/>
        <w:numPr>
          <w:ilvl w:val="1"/>
          <w:numId w:val="6"/>
        </w:numPr>
      </w:pPr>
      <w:r>
        <w:t>Si l’isolement est bien accepté par le patient/résident, poursuivre la même prise en charge</w:t>
      </w:r>
      <w:r w:rsidR="004844D5">
        <w:t xml:space="preserve"> ou l’alléger</w:t>
      </w:r>
      <w:r w:rsidR="002E449C">
        <w:t xml:space="preserve"> si possible pour permettre une contention minimal</w:t>
      </w:r>
      <w:r w:rsidR="00384E04">
        <w:t>e</w:t>
      </w:r>
      <w:r w:rsidR="002E449C">
        <w:t xml:space="preserve"> </w:t>
      </w:r>
      <w:r w:rsidR="00384E04">
        <w:t>efficace.</w:t>
      </w:r>
      <w:r>
        <w:t xml:space="preserve"> </w:t>
      </w:r>
    </w:p>
    <w:p w14:paraId="753D8970" w14:textId="1B00091A" w:rsidR="00120AB2" w:rsidRDefault="00120AB2" w:rsidP="00120AB2">
      <w:pPr>
        <w:pStyle w:val="Paragraphedeliste"/>
        <w:numPr>
          <w:ilvl w:val="1"/>
          <w:numId w:val="6"/>
        </w:numPr>
      </w:pPr>
      <w:r>
        <w:t>En cas de mauvaise tolérance, réévaluation et modification de la contention physique et chimique</w:t>
      </w:r>
      <w:r w:rsidR="00384E04">
        <w:t>.</w:t>
      </w:r>
    </w:p>
    <w:p w14:paraId="6B69E081" w14:textId="77777777" w:rsidR="00E874AB" w:rsidRDefault="00E874AB" w:rsidP="00E874AB">
      <w:pPr>
        <w:pStyle w:val="Paragraphedeliste"/>
        <w:ind w:left="1440"/>
      </w:pPr>
    </w:p>
    <w:p w14:paraId="28381BA2" w14:textId="1C2170F6" w:rsidR="00120AB2" w:rsidRDefault="00120AB2" w:rsidP="00B16620">
      <w:pPr>
        <w:pStyle w:val="Paragraphedeliste"/>
        <w:numPr>
          <w:ilvl w:val="0"/>
          <w:numId w:val="6"/>
        </w:numPr>
      </w:pPr>
      <w:r>
        <w:t>Une fois la contention chimique efficace, alléger le mode de contention physique.</w:t>
      </w:r>
    </w:p>
    <w:p w14:paraId="1973CD7F" w14:textId="77777777" w:rsidR="00384E04" w:rsidRDefault="00384E04" w:rsidP="00384E04"/>
    <w:p w14:paraId="1C9D6F93" w14:textId="4B04A1E1" w:rsidR="00384E04" w:rsidRDefault="00E874AB" w:rsidP="00384E04">
      <w:r>
        <w:t>Choix</w:t>
      </w:r>
      <w:r w:rsidR="0087705C">
        <w:t xml:space="preserve"> de la contention physique et</w:t>
      </w:r>
      <w:r>
        <w:t xml:space="preserve"> de la molécule pour la contention chimique :</w:t>
      </w:r>
    </w:p>
    <w:p w14:paraId="5F506FE6" w14:textId="0A9F4EC4" w:rsidR="00384E04" w:rsidRDefault="00384E04" w:rsidP="00384E04">
      <w:r>
        <w:t>- en cas d’agitation sans agressivité : contention ventrale et majoration du traitement par BENZODIAZEPINE</w:t>
      </w:r>
    </w:p>
    <w:p w14:paraId="2BE1B375" w14:textId="291AC550" w:rsidR="00384E04" w:rsidRDefault="00384E04" w:rsidP="00384E04">
      <w:r>
        <w:t>- en cas d’agitation avec agressivité </w:t>
      </w:r>
      <w:r w:rsidR="00E874AB">
        <w:t xml:space="preserve">physique </w:t>
      </w:r>
      <w:r>
        <w:t xml:space="preserve">: contention des membres et majoration du traitement par BENZODIAZEPINE et discuter l’introduction d’un NEUROLEPTIQUE. </w:t>
      </w:r>
    </w:p>
    <w:p w14:paraId="50A85BFC" w14:textId="049C38D5" w:rsidR="00ED6565" w:rsidRDefault="00ED6565" w:rsidP="00C500FA"/>
    <w:p w14:paraId="783CFD25" w14:textId="17B09F5B" w:rsidR="00384E04" w:rsidRDefault="00384E04" w:rsidP="00C500FA">
      <w:r>
        <w:t xml:space="preserve">Le choix des molécules dépendra de la situation (comorbidités, créatininémie, </w:t>
      </w:r>
      <w:proofErr w:type="spellStart"/>
      <w:r>
        <w:t>co</w:t>
      </w:r>
      <w:proofErr w:type="spellEnd"/>
      <w:r>
        <w:t xml:space="preserve"> prescriptions, </w:t>
      </w:r>
      <w:r w:rsidR="004844D5">
        <w:t>tolérance du patient</w:t>
      </w:r>
      <w:r>
        <w:t>…) et des recommandations, des AMM ou des protocoles validés au sein des différentes structures.</w:t>
      </w:r>
    </w:p>
    <w:sectPr w:rsidR="00384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462E1"/>
    <w:multiLevelType w:val="hybridMultilevel"/>
    <w:tmpl w:val="590E031A"/>
    <w:lvl w:ilvl="0" w:tplc="357659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D18C7"/>
    <w:multiLevelType w:val="hybridMultilevel"/>
    <w:tmpl w:val="97E4A5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B2C4B"/>
    <w:multiLevelType w:val="hybridMultilevel"/>
    <w:tmpl w:val="56B24A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EEC21704">
      <w:start w:val="6"/>
      <w:numFmt w:val="bullet"/>
      <w:lvlText w:val="-"/>
      <w:lvlJc w:val="left"/>
      <w:pPr>
        <w:ind w:left="5760" w:hanging="360"/>
      </w:pPr>
      <w:rPr>
        <w:rFonts w:ascii="Calibri" w:eastAsiaTheme="minorHAnsi" w:hAnsi="Calibri" w:cs="Calibri" w:hint="default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81234"/>
    <w:multiLevelType w:val="hybridMultilevel"/>
    <w:tmpl w:val="CB02C51C"/>
    <w:lvl w:ilvl="0" w:tplc="B1AE0AD4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2C00D14"/>
    <w:multiLevelType w:val="hybridMultilevel"/>
    <w:tmpl w:val="16787342"/>
    <w:lvl w:ilvl="0" w:tplc="B47C8E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C43BE"/>
    <w:multiLevelType w:val="hybridMultilevel"/>
    <w:tmpl w:val="F00E01D8"/>
    <w:lvl w:ilvl="0" w:tplc="25DA732C"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242"/>
    <w:rsid w:val="00031904"/>
    <w:rsid w:val="00036E13"/>
    <w:rsid w:val="00071773"/>
    <w:rsid w:val="0009365B"/>
    <w:rsid w:val="000A3D72"/>
    <w:rsid w:val="00101A27"/>
    <w:rsid w:val="00120AB2"/>
    <w:rsid w:val="00132BFF"/>
    <w:rsid w:val="00177393"/>
    <w:rsid w:val="00192720"/>
    <w:rsid w:val="001E4A17"/>
    <w:rsid w:val="001F153C"/>
    <w:rsid w:val="002501D5"/>
    <w:rsid w:val="002566C5"/>
    <w:rsid w:val="00263D80"/>
    <w:rsid w:val="002813C8"/>
    <w:rsid w:val="00293DE6"/>
    <w:rsid w:val="002A3B8F"/>
    <w:rsid w:val="002B0237"/>
    <w:rsid w:val="002B2BA5"/>
    <w:rsid w:val="002E449C"/>
    <w:rsid w:val="003069AD"/>
    <w:rsid w:val="00316306"/>
    <w:rsid w:val="00384E04"/>
    <w:rsid w:val="00396FA8"/>
    <w:rsid w:val="003A0475"/>
    <w:rsid w:val="003A758D"/>
    <w:rsid w:val="003D4DAD"/>
    <w:rsid w:val="00400C8C"/>
    <w:rsid w:val="00402242"/>
    <w:rsid w:val="004844D5"/>
    <w:rsid w:val="005A0F5B"/>
    <w:rsid w:val="005A4977"/>
    <w:rsid w:val="005C6130"/>
    <w:rsid w:val="00640ED5"/>
    <w:rsid w:val="006514B6"/>
    <w:rsid w:val="0065652B"/>
    <w:rsid w:val="00677565"/>
    <w:rsid w:val="006A4642"/>
    <w:rsid w:val="006C78FB"/>
    <w:rsid w:val="006D0BFE"/>
    <w:rsid w:val="006D2F6E"/>
    <w:rsid w:val="006F0FE0"/>
    <w:rsid w:val="00716998"/>
    <w:rsid w:val="007260F9"/>
    <w:rsid w:val="007A33D3"/>
    <w:rsid w:val="0087705C"/>
    <w:rsid w:val="0097408F"/>
    <w:rsid w:val="00981645"/>
    <w:rsid w:val="009B409C"/>
    <w:rsid w:val="009B7348"/>
    <w:rsid w:val="00A42757"/>
    <w:rsid w:val="00AB2AE2"/>
    <w:rsid w:val="00AD65F8"/>
    <w:rsid w:val="00B036A1"/>
    <w:rsid w:val="00B16620"/>
    <w:rsid w:val="00B50B39"/>
    <w:rsid w:val="00BC2A86"/>
    <w:rsid w:val="00C026DA"/>
    <w:rsid w:val="00C02EF2"/>
    <w:rsid w:val="00C07B78"/>
    <w:rsid w:val="00C17832"/>
    <w:rsid w:val="00C500FA"/>
    <w:rsid w:val="00C817D3"/>
    <w:rsid w:val="00CB2831"/>
    <w:rsid w:val="00CC3970"/>
    <w:rsid w:val="00D2069E"/>
    <w:rsid w:val="00D35D11"/>
    <w:rsid w:val="00D44227"/>
    <w:rsid w:val="00D5476F"/>
    <w:rsid w:val="00D5757F"/>
    <w:rsid w:val="00D86222"/>
    <w:rsid w:val="00DB65B4"/>
    <w:rsid w:val="00E44510"/>
    <w:rsid w:val="00E666BB"/>
    <w:rsid w:val="00E874AB"/>
    <w:rsid w:val="00ED6565"/>
    <w:rsid w:val="00EE40EE"/>
    <w:rsid w:val="00F01A7E"/>
    <w:rsid w:val="00F8667B"/>
    <w:rsid w:val="00FC7688"/>
    <w:rsid w:val="00FF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9B064"/>
  <w15:docId w15:val="{0F38E180-AF60-4D52-B0BC-492D5D50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164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B2AE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2AE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2AE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2A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2AE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AE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319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44738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565492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5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2432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44745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3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4557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92869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Toulouse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ROLLAND Yves</dc:creator>
  <cp:lastModifiedBy>Céline Mathieu</cp:lastModifiedBy>
  <cp:revision>2</cp:revision>
  <dcterms:created xsi:type="dcterms:W3CDTF">2020-03-24T13:28:00Z</dcterms:created>
  <dcterms:modified xsi:type="dcterms:W3CDTF">2020-03-24T13:28:00Z</dcterms:modified>
</cp:coreProperties>
</file>